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20</w:t>
      </w:r>
    </w:p>
    <w:p>
      <w:r>
        <w:t>Bundesgericht (BGE), 1988-12-16, DE</w:t>
      </w:r>
    </w:p>
    <w:p>
      <w:r>
        <w:rPr>
          <w:b/>
        </w:rPr>
        <w:t xml:space="preserve">Quelle: </w:t>
      </w:r>
      <w:r>
        <w:t>https://mcp.opencaselaw.ch/entscheid/bge_117 IV 20</w:t>
      </w:r>
    </w:p>
    <w:p>
      <w:r>
        <w:t>FR: ATF 117 IV 20</w:t>
      </w:r>
    </w:p>
    <w:p>
      <w:r>
        <w:t>IT: DTF 117 IV 20</w:t>
      </w:r>
    </w:p>
    <w:p>
      <w:pPr>
        <w:pStyle w:val="Heading2"/>
      </w:pPr>
      <w:r>
        <w:t>Regeste</w:t>
      </w:r>
    </w:p>
    <w:p>
      <w:r>
        <w:t>Regeste Art. 140 Ziff. 2 StGB; Begriff des berufsmässigen Vermögensverwalters. Voraussetzungen für die Annahme berufsmässiger Vermögensverwaltung im Sinne von Art. 140 Ziff. 2 StGB bei einem Architekten, der auch Liegenschaften verwaltet (E. 1b). Bei der Beantwortung der Frage, ob ein Täter wegen Veruntreuung als berufsmässiger Vermögensverwalter zu verurteilen ist, ist entscheidend, ob die Qualifikationsvoraussetzung im Zeitpunkt der Tatausführung sowie gegebenenfalls im Moment der Entgegennahme der Gelder erfüllt ist (E. 2).</w:t>
      </w:r>
    </w:p>
    <w:p>
      <w:pPr>
        <w:pStyle w:val="Heading2"/>
      </w:pPr>
      <w:r>
        <w:t>Erwägungen</w:t>
      </w:r>
    </w:p>
    <w:p>
      <w:r>
        <w:rPr>
          <w:b/>
        </w:rPr>
        <w:t>E. 1</w:t>
      </w:r>
    </w:p>
    <w:p>
      <w:r>
        <w:t>b) Der Beschwerdeführer beantragt im erwähnten, an die Vorinstanz gerichteten Schreiben, verschiedene Schriftstücke zu den Akten zu nehmen, eine Abklärung bei der Volkswirtschaftsdirektion des Kantons Bern zu treffen und eine Zeugin sowie ihn BGE 117 IV 20 S. 22 selber nochmals einzuvernehmen. Damit hätte er seiner Auffassung nach den Beweis namentlich dafür erbringen können, dass sein Büro im Tatzeitpunkt, anfangs April 1982, nur zwei Liegenschaften verwaltete, nämlich je eine auf eigene und auf fremde Rechnung. Wäre ihm dieser Nachweise gelungen, hätte er nicht als berufsmässiger Vermögensverwalter im Sinne von Art. 140 Ziff. 2 StGB betrachtet werden können. Zwar setzt eine Verurteilung wegen qualifizierter Veruntreuung nach der Rechtsprechung nicht voraus, dass die Vermögensverwaltung die Haupttätigkeit des Täters bildet; berufsmässig kann Vermögen auch verwalten, wer sich daneben in wesentlichem Umfange noch anders betätigt ( BGE 100 IV 30 ). In Anbetracht der erheblichen Strafdrohung des Art. 140 Ziff. 2 StGB von einem Monat Gefängnis bis zu zehn Jahren Zuchthaus und der namentlich mit einer Verlängerung der Strafverfolgungsverjährung verbundenen Zuordnung der qualifizierten Veruntreuung zu den Verbrechen (vgl. Art. 9 Abs. 1 und 70 Abs. 2 StGB), sowie mit Blick darauf, dass Art. 140 Ziff. 2 StGB durchwegs nur Tätergruppen erfassen soll, die erhöhtes Vertrauen geniessen, ist eine berufsmässige Vermögensverwaltung indes nicht leichthin anzunehmen. Die Literatur weist zutreffend darauf hin, dass nicht jede Person, die in Ausübung ihres Berufs Vermögen anvertraut erhält, als berufsmässiger Vermögensverwalter angesehen werden kann (NOLL, Schweizerisches Strafrecht, Besonderer Teil I, S. 155); der Beruf muss vielmehr gerade in der Verwaltung von Vermögen bestehen (STRATENWERTH, Schweizerisches Strafrecht, Besonderer Teil I, 3. Auflage, § 8 N 68 ). Da die Besorgung von Liegenschaftsverwaltungen nicht typischerweise zum Architektenberuf gehört, ist ein Architekt danach jedenfalls solange nicht berufsmässiger Vermögensverwalter im Sinne von Art. 140 Ziff. 2 StGB , als er nur nebenbei und in geringem Ausmass Liegenschaften verwaltet. Die Annahme einer berufsmässigen Vermögensverwaltung kommt erst in Betracht, wenn die Liegenschaftsverwaltung einen eigenständigen Erwerbszweig des Architekten bildet und einen erheblichen Umfang aufweist; die Verwaltung von ein oder zwei Liegenschaften mittlerer Grösse reicht nicht aus.</w:t>
      </w:r>
    </w:p>
    <w:p>
      <w:r>
        <w:rPr>
          <w:b/>
        </w:rPr>
        <w:t>E. 2</w:t>
      </w:r>
    </w:p>
    <w:p>
      <w:r>
        <w:t>Es kann offenbleiben, ob die weitere Rüge des Beschwerdeführers begründet ist, die Vorinstanz habe den Umfang seiner Liegenschaftsverwaltungstätigkeit im Zeitpunkt der Tat, anfangs April 1982, willkürlich beurteilt. Festzuhalten ist, dass es für die Beantwortung der Frage, ob ein Täter wegen Veruntreuung als BGE 117 IV 20 S. 23 berufsmässiger Vermögensverwalter nach Art. 140 Ziff. 2 StGB zu verurteilen ist, entgegen der vom Generalprokurator in seiner Vernehmlassung vertretenen Auffassung allein darauf ankommt, ob die Qualifikationsvoraussetzung im Moment der Tatausführung sowie gegebenenfalls im Moment der Entgegennahme der Gelder gegeben ist. In welchem Ausmass der Beschwerdeführer nach der Begehung der Veruntreuung im April 1982 Liegenschaften verwaltet hat, ist somit belanglos.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